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Казанцев Денис Сергеевич обратился в суд с заявлением о признании недействительным договора купли-продажи транспортного средства от 19.02.2019 № 3, заключенного должником и Никоновой А.А., применении последствий недействительности сделки. Определением Арбитражного суда Республики Марий Эл от 09.12.2020, оставленным без изменения постановлениями Первого арбитражного апелляционного суда от 30.06.2021 и Арбитражного суда Волго-Вятского округа от 04.10.2021, заявление удовлетворено. В кассационной жалобе, поданной в Верховный Суд Российской Федерации, заявитель просит полностью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пунктом 1 статьи 61.2 Федерального закона от 26.10.2002 № 127-ФЗ «О несостоятельности (банкротстве)», исходили из доказанности всей совокупности условий для признания недействительной оспариваемой сделки, в результате совершения которой неплатёжеспособный должник передал своё ликвидное имущество без встречного предоставления аффилированному лицу с целью его вывода из конкурсной массы в преддверии банкротства; правомерно применив последствия её недействительности.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Никоновой Алевтине Анатольевне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