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20.05.2021, оставленным без изменения постановлением Одиннадцатого арбитражного 2 апелляционного суда от 06.08.2021 и постановлением Арбитражного суда Поволжского округа от 11.11.2021, первоначальные исковые требования удовлетворены. По встречному иску в части требования о взыскании неустойки производство по делу прекращено, в удовлетворении остальной части требований отказано. В кассационной жалобе, поданной в Верховный Суд Российской Федерации, общество, выражая несогласие с выводами судов в части взыскания с него пеней и процентов за пользование чужими денежными средствами, просит отменить указанные судебные акты как принятые с нарушением норм материального и процессуального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договора подряда и действия сторон по его исполнению, установив факт нарушения обществом (подрядчик) сроков выполнения работ, суды первой и апелляционной инстанций признали правомерным начисление компанией (заказчик) пеней. Исходя из отсутствия доказательств несоразмерности пеней последствиям нарушения обязательства, а также оснований для снижения их размера; проверив представленный компанией расчет процентов за пользование чужими денежными средствами на сумму предварительной оплаты и признав его верным, руководствуясь статьями 309, 310, 330, 333, 395, 421 Гражданского кодекса Российской Федерации,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удовлетворили соответствующие требования компании в заявленном размере. Суд округа поддержал выводы судов первой и апелляционной инстанций. Доводы заявителя о необходимости снижения размера пеней в связи с виной кредитора были предметом рассмотрения судов и получили правовую оценку. Доводы кассационной жалобы по существу сводятся к иной оценке доказательств и фактических обстоятельств спора и не подтверждают существенных нарушений судами норм материального и (или) процессуального права, повлиявших на исход дела, в связи с чем оснований для передачи 3 жалобы для рассмотрения в судебном заседании Судебной коллегии Верховного Суда Российской Федерации не имеется.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«СПАЙС Интегратор»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