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22.03.2021 исковые требования удовлетворены частично, с компании в пользу общества взыскано 14 600 000 руб. долга и 7 034 400 руб. процентов за пользование займом, в удовлетворении остальной части требований отказано. Постановлением Тринадцатого арбитражного апелляционного суда от 29.06.2021 решение суда первой инстанции изменено, с компании в пользу общества взыскано 14 600 000 руб. долга, в остальной части в иске отказано. Постановлением Арбитражного суда Северо-Западного округа от 26.10.2021 постановление суда апелляционной инстанции оставлено без изменения. В кассационной жалобе, поданной в Верховный Суд Российской Федерации, компания просит отменить указанные судебные акты, ссылаясь на их незаконность.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исковые требования мотивированы тем, что общество перечислило компании в качестве займа денежные средства, часть из которых последней не возвращена.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перечисления обществом компании денежных средств и наличие на стороне последней задолженности в размере 14 600 000 руб., исходя из того, что в отсутствие договора займа спорные денежные средства следует квалифицировать как неосновательное обогащение, руководствуясь статьей 1102 Гражданского кодекса Российской Федерации, суд апелляционной инстанции удовлетворил требования общества в указанной части. Суд округа поддержал выводы апелляционного суда. Изложенные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«РемСтройСервис СПб»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