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28.12.2020, оставленным без изменения постановлением Одиннадцатого арбитражного апелляционного суда от 17.03.2021 и постановлением Арбитражного суда Поволжского округа от 16.08.2021, с Ледюкова В.З. в пользу Бахтина А.В. взыскано 410 000 руб. неосновательного обогащения, 68 813 руб. 19 коп. процентов за пользование чужими денежными средствами, в удовлетворении остальной части исковых требований отказано. В кассационной жалобе, поданной в Верховный Суд Российской Федерации, Ледюков В.З., ссылаясь на нарушение судами норм права, просит отменить указанные судебные акты и направить дело на новое рассмотрение в Арбитражный суд Ульяновской области в ином составе судей.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Бахтина А.В. мотивированы наличием на стороне Ледюкова В.З. неосновательного обогащения, право требования которого приобретено у общества с ограниченной ответственностью «Согласие» (далее – общество) по договору уступки права (требования) от 30.03.2018 № 25.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обществом денежных средств ответчику и отсутствие доказательств встречного исполнения со стороны последнего, руководствуясь статьями 382, 388, 395, 1102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 с учетом корректировки суммы процентов. Суд округа поддержал выводы судов первой и апелляционной инстанций. Доводы заявителя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Ледюкова Владимира Зиновьевича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