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01.09.2020, оставленным без изменения постановлением Третьего арбитражного апелляционного суда от 16.06.2021 и постановлением Арбитражного суда Восточно-Сибирского округа от 27.09.2021, исковые требования удовлетворены. В кассационной жалобе и дополнении к ней, поданных в Верховный Суд Российской Федерации, предприниматель,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Красноярского края.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оказания обществом на спорную сумму и отсутствие доказательств их оплаты предпринимателем, руководствуясь статьями 329, 330, 429.1, 779, 781 Гражданского кодекса Российской Федерации, разъяснениями, изложенными в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суды первой и апелляционной инстанций пришли к выводу о наличии оснований для удовлетворения исковых требований, с чем впоследствии согласился суд округа. Доводы заявителя кассационной жалобы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Золотухиной Татьяны Михайловны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