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Хакасия от 11.05.2021, оставленным без изменения постановлением Третьего арбитражного апелляционного суда от 21.07.2021 и постановлением Арбитражного суда Восточно-Сибирского округа от 28.09.2021, принят отказ компании от иска, производство по делу прекращено. С общества в пользу компании взыскано 6000 руб. расходов по уплате государственной пошлины. В кассационной жалобе, поданной в Верховный Суд Российской Федерации, общество, выражая несогласие с указанными судебными актами 2 в части взыскания с него расходов по уплате государственной пошлины, просит их отменить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Руководствуясь положениями статьи 110 Арбитражного процессуального кодекса Российской Федерации, подпункта 3 пункта 1 статьи 333.40 Налогового кодекса Российской Федерации, разъяснениями, изложенными в пункте 11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исходя из того, что производство по делу прекращено в связи с отказом истца от иска, обусловленным добровольным удовлетворением ответчиком требования после подачи искового заявления в арбитражный суд, суд первой инстанции пришел к выводу о том, что расходы по уплате государственной пошлины, понесенные истцом при подаче иска, подлежат отнесению на ответчика. Суды апелляционной инстанции и округа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«Саянпромтранс»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