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имуществом Исаевой Маргариты Викторовны Черджиев Руслан Владимирович обратился в суд с заявлением о включении в реестр требований кредиторов должника (далее – реестр) задолженности в размере 480 035 рублей 71 копейки. Определением Арбитражного суда города Москвы от 01.03.2021, оставленным без изменения постановлениями Девятого арбитражного апелляционного суда от 12.05.2021 и Арбитражного суда Московского округа от 02.08.2021,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 признании заявленного требования подлежащим удовлетворению в очерёдности, предшествующей распределению ликвидационной квоты.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положениями статей 71, 100 и 142 Федерального закона от 26.10.2002 № 127-ФЗ «О несостоятельности (банкротстве)», исходили из отсутствия оснований для субординации требований Исаевой М.В.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«Агроактив» Егорову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