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28.05.2020 иск удовлетворен. Постановлением Второго арбитражного апелляционного суда от 04.05.2021, оставленным без изменения постановлением Арбитражного суда Волго-Вятского округа от 23.09.2021, в удовлетворении иска отказано в связи с недоказанностью неправомерного бездействия администрации. В кассационной жалобе компания просит о пересмотре судебных актов, ссылаясь на противоречие их нормативно-правовым актам Республики Коми.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что администрация не устанавливала тарифов на перевозку пассажиров и льгот по провозной плате, в связи с чем не является лицом, к которому может быть обращено заявленное требование. Довод компании о том, что администрация несет ответственность за незаключение соглашения с министерством о субсидировании спорных перевозок, отклонен апелляционным и окружным судами ссылкой на Правила предоставления из республиканского бюджета Республики Коми субсидий на возмещение выпадающих доходов организаций речного транспорта, осуществляющих пассажирские перевозки речным транспортом во внутримуниципальном сообщении на территории Республики Коми, утвержденных постановлением Правительства Республики Коми от 30.12.2011 № 650, под критерии отбора которым муниципальных образований для предоставления субсидий администрация не попадает.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«Региональная транспортная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