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указанные судебные акты, одновременно заявив ходатайство об отсрочке уплаты государственной пошлины, мотивированное отсутствием у него денежных средств, необходимых для уплаты пошлины в установленном размере. 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жалобы, ходатайство подлежит удовлетворению. Руководствуясь статьями 102 , 184 , 185 Арбитражного процессуального кодекса Российской Федерации, статьями 333.22 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«Единые коммунальные системы» удовлетворить. Предоставить обществу с ограниченной ответственностью «Единые коммунальные системы» отсрочку уплаты государственной пошлины сроком до окончания производства по кассационной жалобе. Судья Верховного Суда Российской Федерации Н.С. Чучунова Суд: Верховный Суд РФ (подробнее) Судьи дела: Чучунова Н.С. (судья) (подробнее) Последние документы по делу: Определение от 31 января 2022 г. по делу № А16-1537/2018 Определение от 1 декабря 2021 г. по делу № А16-1537/2018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