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03.03.2021, оставленным без изменения постановлением Двенадцатого арбитражного апелляционного суда от 01.06.2021 и постановлением Арбитражного суда Поволжского округа от 23.09.2021, с общества в пользу организации взыскано 2 6 345 181 руб. 50 коп. неосновательного обогащения, в удовлетворении остальной части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несоответствие их выводов фактическим обстоятельствам дела, просит отменить указанные судебные акты и принять по делу новый судебный акт об отказе в удовлетворении исковых требований в части взыскания денежных средств в размере 5 743 146 руб.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организация (заказчик) во исполнение условий договоров от 06.02.2020 № 01/2020, № 02/2020 перечислила обществу (исполнитель) денежные средства в заявленном размере, договоры прекратили свое действие в связи с односторонним отказом заказчика от их исполнения, доказательств того, что исполнитель оказал предусмотренные договорами услуги в согласованные сроки, а также несения им расходов в связи с исполнением названных договоров (за исключением расходов в сумме 145 000 руб.) не представлено, руководствуясь статьями 309, 310, 450, 451, 717, 779, 782, 783, 1102 Гражданского кодекса Российской Федерации, суды первой и апелляционной инстанций пришли к выводу об отсутствии у общества оснований для удержания денежных средств в размере 6 345 181 руб. 50 коп., в связи с чем удовлетворили иск в указанной части. Суд округа поддержал выводы судов первой и апелляционной инстанций. Доводы кассационной жалобы сводятся к изложению обстоятельств дела, которые были предметом исследования и оценки судов, не опровергают выводы судов, не подтверждают существенных нарушений судами норм материального и (или) процессуального права, повлиявших на исход дела, 3 и не являются основанием для передачи жалобы на рассмотрение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ТКА «АДЛЕР»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