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– Чувашии от 04.01.2021, оставленным без изменения постановлением Первого арбитражного апелляционного суда от 05.05.2021 и постановлением Арбитражного суда Волго-Вятского округа от 28.09.2021, иск удовлетворен. В кассационной жалобе, поданной в Верховный Суд Российской Федерации, общество, ссылаясь на нарушение судами норм права, 2 несоответствие их выводов фактическим обстоятельствам, просит отменить указанные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исковые требования, суды первой и апелляционной инстанций, с которыми впоследствии согласился суд округа,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1102 Гражданского кодекса Российской Федерации, пришли к выводу о наличии на стороне ответчика неосновательного обогащения и обязанности по его возврату истцу.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«Чебоксарские городские электрические сети»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