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«Евромедсервис» обратилось в Арбитражный суд Ставропольского края с иском к обществу с ограниченной ответственностью «Палладиум» о расторжении договора возмездного оказания услуг от 08.12.2017 № 27-КУ и взыскании 2 214 500 рублей перечисленного аванса. Решением Арбитражного суда Ставропольского края от 15.04.2021 (с учетом определения об исправлении опечатки от 15.07.2021) иск удовлетворен. Постановлением Шестнадцатого арбитражного апелляционного суда от 25.08.2021 решение суда первой инстанции оставлено без изменения. Арбитражный суд Северо-Кавказского округа постановлением от 30.11.2021 указанные судебные акты оставил без изменения. Общество с ограниченной ответственностью «Палладиум»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перечисления истцом в пользу ответчика аванса и отсутствие доказательств исполнения ответчиком встречных обязательств по договору, признав допущенное со стороны исполнителя нарушение существенным нарушением условий договора, руководствуясь положениями статей 309, 310, 450, 453, 779, 781, 1102 Гражданского кодекса Российской Федерации, суды пришли к выводам о правомерности требований о расторжении договора и взыскании неосновательного обогащения. Доводы, изложенные в кассационной жалобе, в том числе о несоблюдении претензионного порядка,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«Палладиум»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