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02.09.2019 индивидуальный предприниматель Зулоян Ашот Генрихович признан несостоятельным (банкротом), в отношении него введена процедура реализации имущества гражданина, финансовым управляющим имуществом должника утвержден Шинкаренко Александр Викторович. Финансовый управляющий обратился в Арбитражный суд города Москвы с заявлением о признании недействительной сделкой исполнение определения Хамовнического районного суда города Москвы от 29.11.2016 об утверждении мирового соглашения по делу № 2-4287/16, выраженное в передаче должником Лугвинцу Сергею Владимировичу земельных участков с кадастровыми номерами 50:16:0602004:718, 50:16:0602004:719, 50:16:0602004:720 и 50:16:0602004:721. Определением Арбитражного суда города Москвы от 20.04.2021 заявление удовлетворено, применены последствия недействительности сделки в виде обязания ответчика передать спорные земельные участки в конкурсную массу должника. 2 Постановлением Девятого арбитражного апелляционного суда от 13.07.2021 определение суда первой инстанции оставлено без изменения. Арбитражный суд Московского округа постановлением от 18.10.2021 указанные судебные акты оставил без изменения. Лугвинец Сергей Владимирович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пунктом 1 и 2 статьи 61.2, статьями 61.6, 61.9, 213.32 Федерального закона от 26.10.2002 № 127-ФЗ «О несостоятельности (банкротстве)», разъяснениями, изложенными в пунктах 8 и 9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доказанности заявителем наличия совокупности обстоятельств, необходимой для признания спорной сделки недействительной как совершенной при неравноценном встречном исполнении обязательства. В частности, судами установлено, что определение суда об утверждении мирового соглашения отменено, правовые основания для перехода к ответчику права собственности на объекты недвижимости отсутствуют, сделка совершена в условиях неплатежеспособности должника, безвозмездно, в результате чего выбыл ликвидный актив без равноценного встречного предоставления, что привело к утрате кредиторами возможности получить удовлетворение своих требований по обязательствам должника за счет реализации отчужденного имущества. Доводы, изложенные в кассационной жалобе, выводы судов не опровергают, не подтверждают существенных нарушений норм материального 3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Лугвинцу Сергею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