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20.11.2020 с общества в пользу компании взыскано 479 045 руб. 39 коп. убытков, в удовлетворении остальной части исковых требований отказано. Постановлением Девятого арбитражного апелляционного суда от 19.07.2021 решение суда первой инстанции отменено, с общества в пользу компании взыскано 378 490 руб. 11 коп. неосновательного обогащения, 52 130 руб. процентов в порядке статьи 395 Гражданского кодекса Российской Федерации по состоянию на 08.07.2021, проценты с 09.07.2021 по дату фактического погашения долга, в удовлетворении остальной части требований отказано. Арбитражный суд Московского округа от 28.10.2021 оставил без изменения постановление суда апелляционной инстанции.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изменить постановления от 19.07.2021, от 28.10.2021 в части удовлетворения исковых требований и принять новый судебный акт об отказе в их удовлетворении.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исходя из того, что расторжение договора лизинга порождает необходимость соотнести взаимные предоставления сторон по договору, совершенные до момента его расторжения, проверив расчеты сальдо встречных обязательств и произведя перерасчет, руководствуясь статьями 395 , 1102 , 1107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пришел к выводу о наличии на стороне общества неосновательного обогащения в размере 378 490 руб. 11 коп., подлежащего возврату с начислением процентов за пользование чужими денежными средствами. Суд округа поддержал выводы апелляционного суда. Приведенные заявителем в кассационной жалобе доводы существенных нарушений судами апелляционной инстанции и округа норм материального и процессуального права, повлиявших на исход дела, не подтверждают, а по существу свидетельствуют о несогласии с выводами судов по обстоятельствам спора,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«ГРАДЭР»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"ВЭБ-лизинг" (подробнее) Ответчики: ООО "ГРАДЭР"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