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30.04.2021 иск удовлетворен. Постановлением Девятого арбитражного апелляционного суда от 11.06.2021 решение суда первой инстанции отменено, в удовлетворении иска отказано. Постановлением Арбитражного суда Московского округа от 28.09.2021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общество, ссылаясь на нарушение судами первой инстанции и округа норм права, просит отменить решение от 30.04.2021, постановление от 28.09.2021 и оставить в силе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и удовлетворяя иск, суд первой инстанции,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393 , 393.1 Гражданского кодекса Российской Федерации, положениями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принимая во внимание разъяснения, изложенные в постановлении Пленума Высшего Арбитражного Суда Российской Федерации от 11.07.2011 № 54 «О некоторых вопросах разрешения споров, возникающих из договоров по поводу недвижимости, которая будет создана или приобретена в будущем», постановлении Пленума Верховного Суда Российской Федерации от 28.06.2012 № 17 «О рассмотрении судами гражданских дел по спорам о защите прав потребителей», постановлении Пленума Высшего Арбитражного Суда Российской Федерации от 06.06.2014 № 35 «О последствиях расторжения договора», Обзоре практики разрешения судами споров, возникающих в связи с участием граждан в долевом строительстве многоквартирных домов и иных объектов недвижимости, утвержденном Президиумом Верховного Суда Российской Федерации 04.12.2013, исходил из наличия у ответчика (застройщик) обязанности по возмещению убытков, причиненных в связи с нарушением последним обязательства по передаче объекта долевого строительства, в виде разницы между ценой, уплаченной третьим лицом (участник) по договору участия в долевом строительстве, и стоимостью аналогичного объекта на момент расторжения сделки, право требования которых передано истцу на основании заключенного с третьим лицом договора уступки. Суд округа поддержал выводы суда первой инстанции. Доводы кассационной жалобы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«Управляющая компания «Динамо»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АО "УПРАВЛЯЮЩАЯ КОМПАНИЯ "ДИНАМО"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