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22.03.2021, оставленным без изменения постановлением Одиннадцатого арбитражного апелляционного суда от 30.06.2021, в удовлетворении заявленного требования отказано. Постановлением Арбитражного суда Поволжского округа от 07.10.2021 указанные судебные акты оставлены без изменения. Предприниматель просит отменить обжалуемые судебные акты, считая их принятыми с существенным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материалов дела, основанием для принятия инспекцией оспариваемого решения, послужил вывод об утрате предпринимателем права на применение патентной системы налогообложения и переходе последнего на упрощенную систему налогообложения. Оценив представленные доказательства, руководствуясь положениями статей 346.43 , 346.45 , 346.48 Налогового кодекса Российской Федерации (далее – Налоговый кодекс), Законом города Москвы «О патентной системе налогообложения» от 31.10.2012 № 53, Федеральным законом «Об основах туристической деятельности в Российской Федерации», Общероссийским классификатором основных фондов, введенным в действие приказом Росстандарта от 12.12.2014 № 2018-ст, Правил предоставления гостиничных услуг в Российской Федерации, утвержденных постановлением Правительства РФ от 09.102015 № 1085, суды пришли к выводу о том, что доход, полученный предпринимателем в 2018 от выполненных работ по договорам подрядов, заключенным с ООО «Эксклюзив Сервис», не относится к патентной системе налогообложения, а подлежит налогообложению в рамках упрощенной системы налогообложения, в связи с чем признали обоснованным решение налогового органа. При этом суды исходили из того, что деятельность по ремонту нежилого здания (в данном случае гостиницы) не подпадает под действие выданного предпринимателю патента на ремонт жилья и других построек. Глава 26.5 Налогового кодекса не предусматривает возможности привлечения по договорам субподряда юридических лиц или индивидуальных предпринимателей при применении патентной системы налогообложения. Несогласие заявителя с выводами судов, иная оценка им фактических обстоятельств дела и иное толкование в связи с этим положений закона не означает допущенной при рассмотрении дела судебной ошибки, не свидетельствует о существенных нарушениях судами норм материального и (или) норм процессуального права, повлиявших на исход дела, и не может служить основанием для пересмотра судебных актов в кассационном порядке.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Ответчики: Инспекция Федеральной налоговой службы по Первомайскому району г. Пензы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