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18.05.2021, оставленным без изменения постановлением Четвертого арбитражного апелляционного суда от 28.09.2021 и постановление Арбитражного суда Восточно-Сибирского округа от 30.11.2021, в удовлетворении заявленного требования отказано.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в связи с выдачей заработной платы иностранным гражданам наличными денежными средствами без использования банковского счета. Частью 1 статьи 15.25 КоАП РФ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3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КоАП РФ.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отсутствием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РФ, а также отсутствием оснований для применения положений статьи 4.1.1 КоАП РФ, позволяющих заменить наказание в виде административного штрафа на предупреждение. Применительно к разъяснениям, содержащимся в пункте 18.1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выводы судов первой и апелляционной инстанций о возможности или невозможности квалификации правонарушения как малозначительного не подлежат переоценке на стадии кассационного обжалования. Доводы общества о малозначительности совершенного правонарушения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4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