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обществом с ограниченной ответственностью «Акцепт» Шаповаленко Борис Николаевич (далее – кредитор) обратился в суд с заявлением о признании должника несостоятельным (банкротом). Определением Арбитражного суда города Москвы от 08.04.2021, оставленным без изменения постановлениями Девятого арбитражного апелляционного суда от 08.07.2021 и Арбитражного суда Московского округа от 04.10.2021, заявление удовлетворено, в отношении должника введена процедура наблюдения, требование кредитора в размере 166 496 725 рублей признано обоснованным и включено в третью очередь реестра требований кредиторов должника, утверждён временный управляющий.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Вводя процедуру наблюдения, суды, руководствуясь статьями 3, 4, 7, 33, 48 Федерального закона от 26.10.2002 № 127-ФЗ «О несостоятельности (банкротстве)», пунктом 14 постановления Пленума Высшего Арбитражного Суда Российской Федерации от 17.12.2009 № 91 «О порядке погашения расходов по делу о банкротстве», пунктами 14, 41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требование кредитора подтверждено документально, составляет более 300 000 рублей и не исполнено в течение трёх месяцев, рассмотрев и мотивированно отклонив приводимые заявителем возражения.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«Марушкино 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