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«Комфортные условия» (далее – общество) обратилось в Арбитражный суд Костромской области с заявлением к государственной жилищной инспекции Костромской области (далее – административный орган) о признании незаконным и отмене постановления от 26.02.2021 № 06-29-2021 о привлечении к административной ответственности, предусмотренной частью 2 статьи 14.1.3 Кодекса Российской Федерации об административных правонарушениях (далее – КоАП РФ). Решением Арбитражного суда Костромской области от 20.05.2021, оставленным без изменения постановлением Второго арбитражного 2 апелляционного суда от 22.07.2021, обществу отказано в удовлетворении заявления. Арбитражный суд Волго-Вятского округа постановлением от 09.11.2021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управляющей организацией спорных многоквартирных домов, общество оказывало услуги по управлению многоквартирными домами, а также по надлежащему содержанию общего имущества в многоквартирном доме с нарушением требований Жилищного кодекса Российской Федерации,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утвержденных Постановлением Правительства Российской Федерации от 13.08.2006 № 491, Правил и норм технической эксплуатации жилищного фонда, утвержденных Постановлением Федерального агентства по строительству и жилищно- коммунальному хозяйству от 27.09.2003 № 170, и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суды пришли к выводу о наличии в действиях общества состава административного 3 правонарушения, ответственность за которое установлена частью 2 статьи 14.1.3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о привлечении общества к административной ответственности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соблюдением административным органом порядка проведения проверки и процедуры привлечения общества к административной ответственности. Доводы общества об управлении спорными домами временно на основании распоряжений Управления жилищно-коммунального хозяйства администрации города Костромы от 26.12.2020 № 01-17/142-Р и от 26.12.2020 № 01-17/148, также были рассмотрены и отклонены судами. Как указали суды, в силу статьи 192 ЖК РФ деятельность по управлению многоквартирными домами осуществляется управляющими организациями на основании лицензии. При этом наличие или отсутствие договора с собственниками помещений в многоквартирном доме в рассматриваемом случае не влияет на обязанность общества соблюдать законодательно установленные требования к деятельности по управлению многоквартирным домом.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4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