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взыскании с заявителей по делу о банкротстве – Власовых Вадима Валерьевича и Татьяны Васильевны судебных расходов по оплате бухгалтерских услуг за период с 01.04.2019 по 19.11.2020 в размере 196 333 рубля 33 копейки. Определением Арбитражного суда Омской области от 27.04.2021, оставленным без изменения постановлениями Восьмого арбитражного апелляционного суда от 08.07.2021 и Арбитражного суда Западно-Сибирского округа от 05.10.2021,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Арбитражного суда 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59 Федерального закона от 26.10.2002 № 127-ФЗ «О несостоятельности (банкротстве)», пунктами 2, 4, 12 постановления Пленума Высшего Арбитражного Суда РФ от 17.12.2009 № 91 «О порядке погашения расходов по делу о банкротстве», исходили из отсутствия оснований для удовлетворения заявления общества. Поскольку в заявленный обществом период все мероприятия конкурсного производства были выполнены, конкурсная масса реализована, иные источники её формирования отсутствовали, законных оснований для осуществления арбитражным управляющим расходов по оказанию бухгалтерских услуг, в которых ни он как профессиональный антикризисный менеджер, ни должник фактически не нуждались, не имелось.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«Ф-Консалтинг»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