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25.01.2022 обратился в Верховный Суд Российской Федерации с жалобой на определение судьи Верховного Суда Российской Федерации от 20.10.2021 № 309-ЭС21-18508, решение Арбитражного суда Свердловской области от 17.12.2020, постановление Семнадцатого арбитражного апелляционного суда от 26.03.2021 и постановление Арбитражного суда Уральского округа от 22.06.2021 по делу № А60-55138/2018,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«Урал»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