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Дёмина Наталья Андреевна (далее – текущий кредитор) обратилась в суд с жалобой, в которой просила признать незаконными действия конкурсного управляющего должником Халтанова Э.Р. по заключению договора купли – продажи права требования дебиторской задолженности от 13.08.2019; по распределению денежных средств между кредиторами, поступивших в конкурсную массу после 05.08.2019, без учета требований текущего кредитора; незаконным бездействие, выразившееся в несвоевременном учёте требований текущего кредитора в реестре текущих платежей должника. Определением Арбитражного суда Республики Бурятия от 16.02.2021, оставленным без изменения постановлениями Четвёртого арбитражного апелляционного суда от 14.07.2021 и Арбитражного суда Восточно-Сибирского округа от 28.10.2021, жалоба удовлетворена в части признания незаконными действий конкурсного управляющего о заключению договора купли-продажи права требования дебиторской задолженности от 13.08.2019, по распределению денежных средств, поступивших в конкурсную массу 05.08.2019 в сумме 20 256 рублей 08 копеек задатка. В остальной части в удовлетворении жалобы отказано. 2 В кассационной жалобе, поданной в Верховный Суд Российской Федерации, заявитель просит отменить названные судебные акты в части удовлетворённых требований текущего кредитора, принять по делу новый судебный акт об отказе в удовлетворении жалобы в полном объёме либо прекращении по ней производства.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60, 110 Федерального закона от 26.10.2002 № 127-ФЗ «О несостоятельности (банкротстве)», частью 18 статьи 155 Жилищного кодекса Российской Федерации, исходили из того, что осведомлённый об изменении законодательства в части порядка реализации прав требований по оплате коммунальных услуг заявитель, действуя добросовестно и разумно, должен был прекратить торги, воздержаться от заключения недействительного договора с текущим кредитором и возвратить сумму задатка, поставив перед собранием кредиторов вопрос об утверждении порядка продажи с учетом изменённых требований жилищного законодательства. Заключение конкурсным управляющим недействительной сделки и получение по ней денежных средств, что повлекло возникновение текущих требований, суды признали незаконными действиями, нарушающими права и законные интересы текущего кредитора. Выводы судов в обжалуемой части соответствуют нормам права, оснований их переоценки по доводам жалобы не имеется. Нарушений норм материального права и (или) норм процессуального права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«ЖКХ Прибайкальское» Халтанову Эдуарду Рафаиловичу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