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12.01.2021 направило в Верховный Суд Российской Федерации кассационную жалобу и одновременно заявило ходатайство о восстановлении пропущенного срока. Согласно части 2 статьи 2912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Принимая во внимание положения части 3 статьи 2915 Арбитражного процессуального кодекса Российской Федерации, согласно которым возвращение кассационной жалобы не препятствует повторному обращению с кассационной жалобой после устранения обстоятельств, послуживших основанием для ее возвращения, учитывая своевременное направление первоначальной жалобы (27.12.2021), а также оперативное устранение заявителем причин, послуживших основанием для возврата первоначально поданной жалобы, в целях обеспечения процессуальных гарантий, вытекающих из права на судебную защиту, включающего и право на обжалование судебных постановлений, ходатайство о восстановлении срока подлежит удовлетворению, пропущенный срок подлежит восстановлению. Руководствуясь статьями 117, 184, 185, 2912, 2915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публичного акционерного общества «ТНС энерго Кубань» о восстановлении пропущенного срока удовлетворить, срок на подачу кассационной жалобы восстановить.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