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25.03.2021 заявленные требования удовлетворены. Постановлением Девятнадцатого арбитражного апелляционного суда от 22.06.2021 решение суда первой инстанции отменено, в удовлетворении заявленного требования отказано. Постановлением Арбитражного суда Центрального округа от 06.10.2021 постановление суда апелляционной инстанции оставлено без изменения. Общество обратилось в Верховный Суд Российской Федерации с кассационной жалобой на судебные акты судов апелляционной и кассационной инстанций, считая их принятыми с нарушением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основанием для привлечения к ответственности послужили выводы административного органа о нарушении обществом требований технического регламента при выполнении работ по 3 текущему ремонту и содержанию участка автомобильной дороги общего пользования. Частью 1 статьи 14.43 КоАП РФ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Оценив представленные доказательства, руководствуясь положениями Федерального закона от 10.12.1995 № 196-ФЗ «О безопасности дорожного движения»,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Федерального закона от 27.12.2002 № 184-ФЗ «О техническом регулировании», Технического регламента Таможенного союза ТР ТС 014/2011 «Безопасность автомобильных дорог», ГОСТа 33128-2014 «Межгосударственный стандарт. Дороги автомобильные общего пользования. Ограждения дорожные. Технические требования», введенного в действие приказом Федерального агентства по техническому регулированию и метрологии от 07.04.2015 № 229-ст, суд апелляционной инстанции пришел к выводу о наличии в действиях общества состава правонарушения, ответственность за совершение которого предусмотрена частью 1 статьи 14.43 КоАП РФ, признав, что общество как подрядная организация, на которую на основании государственного контракта возложена обязанность по ремонту автомобильной 4 дороги, является лицом, ответственным за ремонт, содержание и контроль за ее состоянием, с чем согласился суд округа. Судами установлено, что процедура и срок давности привлечения к административной ответственности соблюдены. При этом поводом к возбуждению дела об административном правонарушении послужило непосредственное обнаружение уполномоченным должностным лицом достаточных данных, указывающих на наличие признаков правонарушения. Штраф назначен в минимальном размере санкции нормы. Доводы жалобы были предметом исследования судов и получили исчерпывающую правовую оценку, не согласиться с которой по доводам жалобы оснований не имеется. Несогласие общества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