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19.11.2020, оставленным без изменения постановлением Пятнадцатого арбитражного апелляционного суда от 03.06.2021 и постановлением Арбитражного суда Северо-Кавказского округа от 23.09.2021, иск удовлетворен. В кассационной жалобе, поданной в Верховный Суд Российской Федерации, предприниматель, ссылаясь на незаконность указанных судебных актов, просит их отменить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2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состоявшихся по делу судебных актов и доводов кассационной жалобы не установлено. Разрешая спор и удовлетворяя иск, суды первой и апелляционной инстанций, с которыми впоследствии согласился суд округа,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15, 1064, 1082 Гражданского кодекса Российской Федерации, исходили из доказанности факта причинения истцу ущерба в заявленном размере, вины ответчика и причинно-следственной связи между ущербом и действиями ответчика. Ссылка заявителя на решение Таганрогского городского суда по делу № 2-1541/2020 была предметом рассмотрения суда округа и мотивированно отклонена.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Коржова Александра Викторовича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