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«Городское коммунальное хозяйство – 1» (далее - общество) обратилось в Арбитражный суд Оренбургской области с исковым заявлением, уточненным в порядке статьи 49 Арбитражного процессуального кодекса Российской Федерации, к муниципальному образованию город Новотроицк в лице администрации муниципального образования город Новотроицк о взыскании денежных средств в размере 432 802 руб. 72 коп. Решением Арбитражного суда Оренбургской области от 10.09.2020 иск удовлетворены. Индивидуальный предприниматель Спильник Мария Васильевна (далее - предприниматель) обратилась в Арбитражный суд 2 Оренбургской области с заявлением о замене взыскателя - общества на его правопреемника - предпринимателя. Определением Арбитражного суда Оренбургской области от 15.04.2021 заявление удовлетворено, произведена замена взыскателя - общества на правопреемника - предпринимателя. Асланова Ирина Геннадьевна (далее – Асланова И.Г.) – лицо, не участвующее в деле, в порядке статьи 42 Арбитражного процессуального кодекса Российской Федерации обратилась в Восемнадцатый арбитражный апелляционный суд с апелляционной жалобой на указанное определение. Восемнадцатый арбитражный апелляционный суд определением от 26.07.2021 прекратил производство по апелляционной жалобе Аслановой И.Г. на основании пункта 1 части 1 статьи 150 Арбитражного процессуального кодекса Российской Федерации. Постановлением Арбитражного суда Уральского округа от 27.09.2021 определение суда апелляционной инстанции оставлено без изменения. В кассационной жалобе, поданной в Верховный Суд Российской Федерации, Асланова И.Г. просит отменить определение суда апелляционной инстанции и постановление суда округа, ссылаясь на их незаконность.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доводам кассационной жалобы не установлено. Прекращая производство по апелляционной жалобе Аслановой И.Г., апелляционный суд руководствовался положениями статей 42, 150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 исходил из отсутствия у Аслановой И.Г. права на обжалование определения суда первой инстанции, поскольку оно не принято о ее правах и обязанностях, а наличие у названного лица какой-либо заинтересованности в исходе дела само по себе не наделяет его правом на обжалование судебного акта. Суд округа поддержал выводы апелляционного суда. Доводы кассационной жалобы не подтверждают существенных нарушений судами норм права, повлиявших на исход дела, и не являются основанием для передачи жалобы для рассмотрения в судебном заседании Судебной коллегии Верховного Суда Российской Федерации. 3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Аслановой Ирины Геннадьевны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