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19.04.2021, оставленным без изменения постановлениями Второго арбитражного апелляционного суда от 21.07.2021 и Арбитражного суда Волго-Вятского округа от 29.10.2021,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существенное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внеплановой документарной проверки общества (управляющая компания), проведенной в связи с обращениями жителей многоквартирного дома (далее - МКД), службой выявлены нарушения обществом требований, установленных подпунктом «б» пункта 3 Положения о лицензировании предпринимательской деятельности по управлению многоквартирными домами, утвержденного постановлением Правительства Российской Федерации от 28.10.2017 № 1110, частью 2 статьи 162 Жилищного кодекса Российской Федерации (далее – Жилищный кодекс), пунктом 4 Правил осуществления деятельности по управлению многоквартирными домами, утвержденных постановлением Правительства Российской Федерации от 15.05.2013 № 416 (далее – Правила № 416), пунктами 4, 5 Правил,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организациями, утвержденных постановлением Правительства Российской Федерации от 14.02.2012 № 124 (далее – Правила № 124). Предписанием службы на общество в целях устранения выявленных нарушений возложена обязанность заключить договоры ресурсоснабжения по приобретению соответствующих коммунальных ресурсов. Не соглашаясь с указанным ненормативным правовым актом, общество обратилось в арбитражный суд с заявлением о признании его частично незаконным. Отказывая в удовлетворении заявления,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157.2 , 161 , 162 Жилищного кодекса, Правилами № 416 и № 124, постановлением Правительства Российской Федерации от 13.09.2018 № 1090 «О внесении изменений в некоторые акты Правительства Российской Федерации по вопросам управления многоквартирными домами», постановлением Правительства Российской Федерации от 06.05.2011 № 354 «О предоставлении коммунальных услуг собственникам помещений в многоквартирных домах и жилых домов», пришли к выводу о том, что предписание службы в оспариваемой части соответствует действующему законодательству и не нарушает прав и законных интересов общества. Судебные инстанции исходили из наличия у общества обязанности с момента заключения договора управления МКД заключить договоры на приобретение всего объема коммунальных ресурсов в целях предоставления жителям МКД коммунальных услуг по электроснабжению, холодному, горячему водоснабжению, водоотведению, отоплению и газоснабжению. При исследовании обстоятельств дела установлено отсутствие заключенных между ресурсоснабжающими организациями и каждым собственником помещения в МКД, действующим от своего имени, договоров, содержащих положения о предоставлении коммунальных услуг. Доводы кассационной жалобы являлись предметом рассмотрения судов, получили надлежащую правовую оценку с учетом установленных обстоятельств дела и мотивированно отклонены, основаны на неверном толковании норм материального права, не опровергают выводы судов, не подтверждают существенных нарушений норм материального права и норм процессуального права, повлиявших на исход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«ВарГо»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"ВарГо" (подробнее) Ответчики: Служба государственной жилищной инспекции Ивановской области (подробнее) Иные лица: АО "Водоканал" (подробнее) АО "Ивгортеплоэнерго" (подробнее) АО "Энерго Плюс" - Ивановский филиал (подробнее) АО "Энергосбыт Плюс" (подробнее) АО "ЭнергосбыТ Плюс" - Ивановский филиал (подробнее) Арбитражный суд Волго-Вятского округа (подробнее) Второй Арбитражный апелляционный суд (подробнее) ООО "Газпром межрегионгаз Иваново" (подробнее) ООО "ЭСК Гарант"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