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Таскаева М.В. обратилась в суд с заявлением о включении в реестр требований кредиторов должника (далее – реестр) требования в размере 9 350 028 рублей 88 копеек и признании обязательства Бухалина А.М. в указанном размере общим долгом с Бухалиной Ириной Яковлевной. Определением Арбитражного суда Тюменской области от 22.03.2021, оставленным без изменения постановлением Восьмого арбитражного апелляционного суда от 25.06.2021, заявление удовлетворено частично, требование в размере 8 667 936 рублей 57 копеек включено в третью очередь реестра, заявление о признании обязательства должника общими с Бухалиной И.Я. удовлетворено в части требования в размере 2 137 045 рублей 28 копеек. Отказано в удовлетворении остальной части заявления. Постановлением Арбитражного суда Западно-Сибирского округа от 13.10.2021 данные судебные акты отменены, обособленный спор направлен на новое рассмотрение в Арбитражный суд Тюменской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направляя спор на новое рассмотрение, суд округа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Таскаевой Марине Виливсовне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