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08.04.2021, оставленным без изменения постановлением Пятнадцатого арбитражного апелляционного суда от 12.07.2021 и постановлением Арбитражного суда Северо-Кавказского округа от 01.10.2021, требование в размере 189 067 рублей 88 копеек включено во вторую, в размере 1 948 482 рублей 52 копеек – в третью очередь реестра. В кассационной жалобе Денисов А.В. просит об отмене судебных актов, ссылаясь на отсутствие доказательств направления ему уполномоченным органом налоговых требований и неосновательное включение в реестр требований, в отношении которых судебные приказы отменены.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45, 46, 47, 48, 69, 70 Налогового кодекса Российской Федерации, статьями 16, 71, 100 Федерального закона от 26.10.2002 № 127-ФЗ «О несостоятельности (банкротстве)», судебной практикой по вопросу об участии уполномоченных органов в процедурах банкротства, признали доказанной предъявленную к включению в реестр задолженность должника по налогу и страховым взносам в Пенсионный фонд и Фонд ОМС. Довод должника о неосновательном включении в реестр требования, основанного на отмененных судебных приказах, правомерно отклонен, поскольку обязанность по уплате налогов сохраняется в силу закона и после отмены приказов.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