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Мордовия от 08.12.2020, оставленным без изменения постановлением Первого арбитражного апелляционного суда от 19.05.2021 и постановлением Арбитражного суда Волго-Вятского округа от 02.11.2021, заявление удовлетворено частично: проценты установлены в размере 153 475 рублей 62 копеек. В кассационной жалобе Мурашкина Е.В. просит о пересмотре судебных актов, ссылаясь на несоответствие их нормам права о банкротстве физических лиц и судебной практике.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Устанавливая размер процентов по вознаграждению финансового управляющего, суды руководствовались пунктом 17 статьи 20.6, пунктом 5 статьи 213.27 Федерального закона от 26.10.2002 № 127-ФЗ «О несостоятельности (банкротстве)» и пунктом 13.1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банкротстве». Доводы кассационной жалобы не подтверждают нарушения норм права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Мурашкиной Елене Вячеславовне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