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«СМУ Тюменьоблстрой» (далее – должник) его конкурсный управляющий обратился в Арбитражный суд Тюменской области с заявлением о признании недействительными тринадцати договоров субподряда от 05.04.2017, от 30.05.2017, от 01.08.2017 и от 03.02.2018, заключенных должником и обществом, а также операций по перечислению должником в пользу общества денежных средств, применении последствий недействительности сделок. Определением суда первой инстанции от 13.01.2021, оставленным без изменения постановлениями судов апелляционной инстанции от 11.05.2021 и округа от 17.08.2021, заявление удовлетворено, оспариваемые сделки признаны недействительными, применены последствия недействительности в виде взыскания с общества в конкурсную массу должника денежных средств в размере 185 316 721 руб. 46 коп. В кассационных жалобах, поданных в Верховный Суд Российской Федерации, ФИО2, ФИО3, ФИО4 и общество, ссылаясь на существенные нарушения судами норм права, просят отменить принятые по обособленному спору судебные акты и направить спор на новое рассмотрение.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Разрешая спор, суды первой и апелляционной инстанций оценили представленные по делу доказательства и, руководствуясь статьей 170 Гражданского кодекса Российской Федерации с учетом разъяснений, содержащихся в постановлении Пленума Верховного Суда РФ от 23.06.2015 № 25 «О применении судами некоторых положений раздела I части первой Гражданского кодекса Российской Федерации», указали на мнимый характер оспариваемых сделок, имеющих своей целью вывод денежных средств из конкурсной массы. В частности, суды указали на отсутствие в материалах спора доказательств, с должной степенью достоверности подтверждающих как реальность, так и возможность выполнения обществом (привлеченными им лицами) работ по упомянутым договорам. Последствия недействительности применены судом с учетом положений статьи 167 Гражданского кодекса Российской Федерации, статьи 61.6 Федерального закона от 26.10.2002 № 127-ФЗ «О несостоятельности (банкротстве)». С данными выводами судов впоследствии согласился суд округа. Изложенные в жалобах доводы были предметом рассмотрения судов, не свидетельствуют о неправильном применении ими норм права, сводятся к установлению иных обстоятельств по обособленному спору, что не входит в полномочия суда при кассационном производстве.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Д.В. Капкаев Суд: Верховный Суд РФ (подробнее) Судьи дела: Капкаев Д.В.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