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25.02.2021, оставленным без изменения постановлением Девятого арбитражного апелляционного суда от 22.06.2021 и постановлением Арбитражного суда Московского округа от 30.09.2021, арбитражный управляющий Муханов В.В. освобожден от исполнения обязанностей финансового управляющего гражданина-должника, финансовым управляющим утвержден Карпенко А.Ю. В кассационной жалобе банк просит об отмене судебных актов, ссылаясь на неправомерность отстранения финансового управляющего вследствие смены членства в саморегулируемой организации и игнорирование возражений относительно избранной саморегулируемой организации для дальнейшего ведения процедуры банкротства.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 соответствии со статьей 73 Федерального закона от 26.10.2002№ 127-ФЗ «О несостоятельности (банкротстве)» собранием кредиторов была выбрана саморегулируемая организация арбитражных управляющих (Союз арбитражных управляющих «СРО СС»), а не конкретная кандидатура арбитражного управляющего, и в дальнейшем смена данной организации не инициировалась. Претензии банка к деятельности в процедурах банкротства должника избранной организации арбитражных управляющих не подтверждены, поэтому правомерно не приняты при рассмотрении данного заявления. Судебные акты соответствуют судебной практике рассмотрения подобных споров.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