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17.02.2021, оставленным без изменения постановлением Пятнадцатого арбитражного апелляционного суда от 13.05.2021 и постановлением Арбитражного суда Северо-Кавказского округа от 23.09.2021, в удовлетворении иска отказано. В кассационной жалобе предприниматель просит об отмене судебных актов, ссылаясь на противоречие их закону Краснодарского края, регулирующему спорные правоотношения, и неосновательное 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дополнительное соглашение от 22.05.2019 № 19, изменяющее срок действия договора от 26.11.2015 № 104, подписано сторонами в связи с изменением Закона Краснодарского края от 04.06.2012 № 2508-КЗ в отношении лица, заключающего подобные договоры от имени властного субъекта, и порядка заключения договора, и договор прекратился в связи с истечением срока действия. Соглашение подписано предпринимателем, следовательно, о содержании соглашения, в частности в отношении оспариваемого срока действия договора, ему было известно в момент подписания, и рассматриваемый иск предъявлен за пределами установленного пунктом 2 статьи 181 Гражданского кодекса Российской Федерации срока для оспаривания его в судебном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Турову И.Н.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