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22.04.2021, оставленным без изменения постановлением Второго арбитражного апелляционного суда от 25.06.2021 и постановлением Арбитражного суда Волго-Вятского округа от 27.09.2021, в удовлетворении заявления отказано. В кассационной жалобе Солодилов Л.С. просит об отмене судебных актов, ссылаясь на неосновательный вывод об устранении нарушения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допущенное арбитражным управляющим включение в реестр требования в большем положенного размере устранено подачей заявления об изменении внесенных в реестр сведений и содействии в возврате кредитором в конкурсную массу должника излишне полученной суммы. Учитывая уплату арбитражным управляющим суммы, равной сумме требуемых с него в рассматриваемом заявлении убытков, до принятия судебных актов о вознаграждении управляющего, суды обоснованно признали платежный документ об уплате указанной суммы относящимся к предмету данного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Солодилову Л.С.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