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обратилась в арбитражный суд с заявлением о включении ее требования в размере 2 716 035,07 руб. в реестр требований кредиторов должника. Определением арбитражного суда первой инстанции от 18.04.2019, оставленным без изменения постановлениями судов апелляционной инстанции от 03.07.2019 и округа от 02.10.2019, заявление удовлетворено. В кассационной жалобе, поданной в Верховный Суд Российской Федерации, должник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16, 71 и 100 Федерального закона от 26.10.2002 № 127-ФЗ «О несостоятельности (банкротстве)» и исходили из доказанности наличия и размера задолженности должника перед кредитором в заявленной сумме, в связи с чем суды удовлетворили заявленные требования. При этом судами учтено, что наличие долга подтверждено вступившим в законную силу судебным актом. Доводы заявителя кассационной жалобы получили правовую оценку со стороны судов, их выводы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БукинаРоссийской Федерации Суд: Верховный Суд РФ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