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подала в Верховный Суд Российской Федерации несколько кассационных жалоб на судебные акты, принятые по обособленным спорам в деле о банкротстве должника. В связи с подачей жалоб и до их рассмотрения заявитель просит о принятии обеспечительных мер в виде запрета на любые действия по фактическому выселению должника и ее матери из квартиры 19 дома 25 по Байкальской улице в городе Екатеринбурге, порчи находящегося в квартире имущества. Согласно части 1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процесса в случае наличия одного из следующих оснований: 1)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2) в целях предотвращения причинения значительного ущерба заявителю. 2 Кроме того, применяемая конкретная обеспечительная мера должна быть связана с предметом заявленного требования, соразмерна ему, обеспечивать фактическую реализацию целей обеспечительных мер. Заявитель не обосновал наличия обозначенных условий для принятия требуемых обеспечительных мер, поэтому суд не находит оснований для удовлетворения заявления. Учитывая изложенное и руководствуясь статьями 90 - 91,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Амелиной Н.Н. о принятии обеспечительных мер по делу №60-14986/2018 Арбитражного суда Свердловской области о несостоятельности (банкротстве) гражданки Амелиной Н.Н. отказать.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