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автономная некоммерческая организация «Конгрессно-выставочное бюро города Москвы» обратилось в Арбитражный суд города Москвы с иском к обществу с ограниченной ответственностью «Агентство старинных развлечений «Ратоборцы» об изменении договора от 18.04.2019 № МС/028-04.19 в редакции дополнительного соглашения № 2 и взыскании излишне уплаченных по договору денежных средств в размере 1 186 483 рублей 18 копеек. Решением Арбитражного суда города Москвы от 01.04.2021 в удовлетворении иска отказано. Постановлением Девятого арбитражного апелляционного суда от 05.07.2021 решение суда первой инстанции оставлено без изменения. Арбитражный суд Московского округа постановлением от 14.10.2021 указанные судебные акты оставил без изменения. Автономная некоммерческая организация «Конгрессно-выставочное бюро города Москвы» обратилась в Судебную коллегию Верховного Суда 2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182, 309, 310, 402, 450, 779, 781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об отсутствии оснований для удовлетворения заявленных требований ввиду непредставления истцом доказательств, подтверждающих ненадлежащее оказание услуг ответчиком и наличие оснований для снижения цены договора.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автономной некоммерческой организации «Конгрессно- выставочное бюро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