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13.10.2021 направил в Верховный Суд Российской Федерации кассационную жалобу, заявив в нем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Рассмотрев заявленное ходатайство, оценив изложенные в нем доводы, учитывая незначительность пропуска процессуального срока, судья находит его подлежащим удовлетворению. Руководствуясь статьями 117 , 184 ,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«Антал Раша» о восстановлении пропущенного срока удовлетворить, пропущенный срок на подачу кассационной жалобы восстановить. Судья Верховного СудаРоссийской Федерации А.Г. Першутов Суд: Верховный Суд РФ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