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(уполномоченный орган) обратился в суд с заявлением о привлечении солидарно к субсидиарной ответственности по обязательствам должника обществ с ограниченной ответственностью «Объединённые пензенские водочные заводы», «ДАЛ», «Спектр-Моторс» и «Агат-Алко» (далее – ответчики); взыскании с данных лиц солидарно 7 604 010 661 рубль 06 копеек. Определением Арбитражного суда города Москвы от 18.02.2021 в удовлетворении заявления отказано. Постановлением Девятого арбитражного апелляционного суда от 28.04.2021 данное определение отменено, заявление удовлетворено. Постановлением Арбитражного суда Московского округа от 05.08.2021 принятые судами первой и апелляционной инстанций судебные акты отменены, обособленный спор направлен на новое рассмотрение в Арбитражный суд города Москвы. В кассационных жалобах, поданных в Верховный Суд Российской Федерации, уполномоченный орган просит отменить постановление суда округа и оставить в силе постановление апелляционного суда; общество «Спектр-Моторс» просит изменить постановление суда округа, исключив из его мотивировочной части указания на неприменение срока исковой давности, 2 а также на квалификацию ответчиков как выгодоприобретателей по сделкам с должником. 28.10.2021 материалы дела № А40-158173/2013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кассационных жалоб, поступивших от уполномоченного органа письменных объяснений и возражений общества «Объединённые пензенские водочные заводы» на них таких оснований не установлено. Отменяя принятые по делу судебные акты, суд округа руководствовался положениями статьи 10 Федерального закона от 26.10.2002 № 127-ФЗ «О несостоятельности (банкротстве)» (в редакции Федерального закона от 28.04.2009 № 73-ФЗ) и признал верными выводы судов первой и апелляционной инстанций о том, что срок исковой давности по заявленному требованию не пропущен. Вместе с тем, поскольку судами первой и апелляционной инстанций не были исследованы и установлены все обстоятельства, входящие в предмет доказывания и имеющие существенное значение для правильного разрешения обособленного спора, суд округа направил его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Оснований для переоценки содержащихся в нём выводов, а также исключения из его мотивировочной части поименованных заявителем указаний, не имеется. При новом рассмотрении заявители не лишены возможности изложить свои доводы и представить доказательства в обоснование своей позиции со ссылками на нормы права,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Федеральной налоговой службы № 25 по г. Москве и обществу с ограниченной ответственностью «Спектр-Моторс»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