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24.06.2020, оставленным без изменения постановлением Одиннадцатого арбитражного апелляционного суда от 09.10.2020, исковые требования удовлетворены. Арбитражный суд Поволжского округа постановлением от 25.12.2020 отменил названные судебные акты, направил дело на новое рассмотрение в суд первой инстанции. При новом рассмотрении дела решением Арбитражного суда Республики Татарстан от 01.04.2021 исковые требования удовлетворены частично, с ООО «Новые Технологии-Сервис» в пользу страховой компании взыскана сумма страхового возмещения в размере 5 937 302 рубля 11 копеек, расходы по государственной пошлине в размере 52 687 рублей, с ООО «ТНГ-Групп» в пользу страховой компании взыскана сумма страхового возмещения в размере 5 937 302 рубля 11 копеек, расходы по государственной пошлине в размере 52 687 рублей. В удовлетворении остальной части иска отказано. Постановлением Одиннадцатого арбитражного апелляционного суда от 28.06.2021 решение суда изменено, иск удовлетворен частично, с ООО «Новые Технологии-Сервис» в пользу страховой компании взыскана сумма страхового возмещения в размере 617 351 рубль 37 копеек, расходы по государственной пошлине в размере 15 347 рублей, с ООО «ТНГ-Групп» в пользу страховой компании взыскана сумма страхового возмещения в размере 617 351 рубль 37 копеек, расходы по государственной пошлине в размере 15 347 рублей. В удовлетворении остальной части иска отказано. Арбитражный суд Поволжского округа постановлением от 01.10.2021 оставил без изменения постановление суда апелляционной инстанции. Страховая компания просит отменить принятые судебные акты, считая их незаконными и необоснованными. 3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частично исковые требования, суд апелляционной инстанции, руководствуясь положениями Гражданского кодекса Российской Федерации, исходил из факта наступления страхового случая и наличия у надлежащих ответчиков обязанности возместить убытки в порядке суброгации с учетом доказательств, подтверждающих фактическую стоимость утраченного имущества на момент аварии, фактическую стоимость работ по замене утраченного имущества, а также заявления к возмещению расходов на запланированный ранее капитальный ремонт скважины № 2р, не связанный с фактом аварии. Обжалуя судебные акты в Верховный Суд Российской Федерации, заявитель приводит доводы, которые являлись предметом рассмотрения судов и получили исчерпывающую правовую оценку. Доводы заявителя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