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16.03.2021, оставленным без изменения постановлением Пятнадцатого арбитражного апелляционного суда от 10.06.2021 и постановлением Арбитражного суда Северо-Кавказского округа от 21.09.2021, первоначальные исковые требования удовлетворены, в удовлетворении встречного иска отказано. 2 В кассационной жалобе, поданной в Верховный Суд Российской Федерации, предприниматель просит отменить указанные судебные акты, ссылаясь на их незаконность.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после истечения срока действия договора аренды предприниматель (арендатор) не возвратил обществу (арендодатель) объект аренды и не исполнял обязанность по внесению арендных платежей в спорный период, руководствуясь статьями 309, 310, 395, 606, 614, 62, 622 Гражданского кодекса Российской Федерации, разъяснениями, изложенными в постановлении Пленума Высшего Арбитражного Суда Российской Федерации от 06.06.2014 № 35 «О последствиях расторжения договора», суды первой и апелляционной инстанций пришли к выводу о наличии оснований для удовлетворения первоначальных исковых требований. Отказывая в удовлетворении встречного иска, суды руководствовались статьями 166, 168, 181, 195, 199 Гражданского кодекса Российской Федерации и исходили из отсутствия оснований для признания сделок недействительными и пропуска предпринимателем срока исковой давности, о чем было заявлено обществом. Суд округа поддержал выводы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Поскольку в передаче кассационной жалобы для рассмотрения в судебном заседании Судебной коллегии Верховного Суда Российской Федерации отказано, ходатайство о приостановлении исполнения решения суда первой инстанции рассмотрению не подлежит.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Ступицкого Владимира Ивановича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