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Чамаев И.С. обратился в суд с заявлением о включении в реестр требований кредиторов должника (далее – реестр) своего требования в размере 332 587 952 рубля 90 копеек, в том числе 209 605 500 рублей основного долга, 70 727 978 рублей 26 копеек процентов за пользование займом и 52 254 474 рубля 64 копейки процентов на сумму займа. Определением Арбитражного суда города Санкт – Петербурга и Ленинградской области от 20.02.2021, оставленным без изменения постановлениями Тринадцатого арбитражного апелляционного суда от 24.06.2021 и Арбитражного суда Северо-Западного округа от 30.09.2021, во включении требования в реестр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Санкт –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и лежащее в его основе заёмное обязательство должника не подтверждены документально, в связи с чем обосновано пришли к выводу об отказе во включении требования в реестр.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Чамаеву Игорю Султановичу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