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03.06.2021, оставленным без изменения постановлением Седьмого арбитражного апелляционного суда от 05.08.2021, в удовлетворении требования отказано. Постановлением Арбитражного суда Западно-Сибирского округа от 28.10.2021 указанные судебные акты оставлены без изменения. 2 Общество обратилось в Верховный Суд Российской Федерации с кассационной жалобой, в которой просит отменить состоявшиеся по делу судебные акты,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отказал в возбуждении дела об административном правонарушении по части 1 статьи 14.33 Кодекса Российской Федерации об административных правонарушениях в отношении общества с ограниченной ответственностью «Газпром газораспределение Барнаул» за нарушение антимонопольного законодательства. Оценив представленные доказательства, руководствуясь положениями статьи 28.1 Кодекса Российской Федерации об административных правонарушениях, статей 4, 14.1, 39, 44 Федерального закона от 26.07.2006 № 135-ФЗ «О защите конкуренции», суды отказали в удовлетворении требований, признав недостаточность оснований для возбуждения дела об административном правонарушении, не установив достаточных доказательств, свидетельствующих о наличии в действиях общества признаков недобросовестной конкуренции. Несогласие заявителя с толкованием судебными инстанциями норм законодательства, подлежащих применению к спорным правоотношениям,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