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01.04.2021, оставленным без изменения постановлением Десятого арбитражного апелляционного суда от 17.06.2021, в удовлетворении заявленных требований отказано. 2 Постановлением Арбитражного суда Московского округа от 30.09.2021 указанные судебные акты оставлены без изменения. Общество обратилось в Верховный Суд Российской Федерации с кассационной жалобой, считая названные судебные акты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309, 310, 450, 451, 702, 753, 763 Гражданского кодекса Российской Федерации,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отказали в иске, признав отсутствие оснований для оплаты стоимости работ.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 учетом правовой позиции, изложенной в пункте 12 Обзора судебной практики применения законодательства Российской Федерации о контрактной системе в сфере 3 закупок товаров, работ, услуг для обеспечения государственных и муниципальных нужд, утвержденного Президиумом Верховного Суда РФ 28.06.2017. В отсутствие доказательств того, что к оплате выставлены исключительно те работы, которые, исходя из имеющейся информации на момент подготовки документации и заключения контракта, объективно не могли быть учтены в технической документации, но должны быть произведены, оснований не согласиться с выводами судов не имеется. Доводы о том, что принятые по настоящему делу судебные акты затрагивают права и законные интересы лиц, не привлеченных к участию в деле, в отсутствие жалоб указанных лиц, несостоятельны. Каким образом непривлечение указанных лиц привело или могло привести к принятию неправильного решения, в жалобе не указано.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