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12.04.2021, оставленным без изменения постановлением Третьего арбитражного апелляционного суда от 01.06.2021, общество привлечено к административной ответственности, предусмотренной частью 5 статьи 9.5 Кодекса Российской Федерации об административных правонарушениях и ему назначено наказание в виде штрафа в размере 250 000 рублей. 2 Постановлением Арбитражного суда Восточно-Сибирского округа от 30.09.2021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вынесения постановления о возбуждении дела об административном правонарушении и обращения в арбитражный суд с соответствующим заявлением послужил выявленный прокуратурой факт эксплуатации обществом объекта капитального строительства без разрешения на ввод его в эксплуатацию. Оценив представленные доказательства, руководствуясь положениями статей 55, 55.24 Градостроительного кодекса Российской Федерации, суды пришли к выводу о наличии в действиях общества состава правонарушения по части 5 статьи 9.5 Кодекса Российской Федерации об административных правонарушениях. Вина общества состоит в том, что им не были приняты все необходимые и достаточные меры для надлежащего исполнения возложенных на него обязанностей.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Штраф назначен ниже низшего размера санкции нормы. Доводы жалобы были предметом исследования судов и получили исчерпывающую правовую оценку, не согласиться с которыми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