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«ННБ Сервис» обратилось в Арбитражный суд города Москвы с иском о взыскании с общества с ограниченной ответственностью «Газпром бурение» 14 064 530 рублей задолженности по договору на оказание услуг от 04.03.2020 № 199-КР/20 и 574 342 рублей 65 копеек неустойки. Определением Арбитражного суда города Москвы от 07.06.2021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А40-37551/2021. Постановлением Девятого арбитражного апелляционного суда от 09.08.2021 определение суда первой инстанции оставлено без изменения. Арбитражный суд Московского округа постановлением от 06.10.2021 указанные судебные акты оставил без изменения. Общество с ограниченной ответственностью «ННБ 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установив, что обстоятельства, связанные с наличием или отсутствием задолженности, с учетом возможности проведения зачета встречных однородных требований,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«ННБ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