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января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Оценка доводов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«Проминтерсервис» (на основании договора цессии от 07.07.2020) обратилось в Арбитражный суд города Москвы с иском о взыскании с акционерного общества «ВЭБ-лизинг» 1 299 584 рублей 36 копеек неосновательного обогащения, 130 045 рублей 60 копеек процентов за пользование чужими денежными средствами, а также процентов за пользование чужими денежными средствами по дату фактического исполнения обязательства по уплате долга. К участию в деле в качестве третьего лица, не заявляющего самостоятельных требований относительно предмета спора, привлечено общество с ограниченной ответственностью «Ойл-Стройкомплект». Решением Арбитражного суда города Москвы от 03.02.2021 (с учетом определения от 20.02.2021 об исправлении опечаток) в удовлетворении иска отказано. 2 Постановлением Девятого арбитражного апелляционного суда от 08.04.2021 (с учетом определения от 06.07.2021 об исправлении опечатки) решение суда первой инстанции оставлено без изменения. Арбитражный суд Московского округа постановлением от 04.10.2021 указанные судебные акты оставил без изменения. Общество с ограниченной ответственностью «Проминтерсервис» обратилось в Судебную коллегию Верховного Суда Российской Федерации с кассационной жалобой на принятые по делу судебные акты, ссылаясь на существенные нарушения норм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статьями 309, 310, 431, 453, 665, 669, 1102 Гражданского кодекса Российской Федерации, положениями Федерального закона от 29.10.1998 № 164-ФЗ «О финансовой аренде (лизинге)», разъяснениями, изложенными в постановлении Пленума Высшего Арбитражного Суда Российской Федерации от 14.03.2014 № 17 «Об отдельных вопросах, связанных с договором выкупного лизинга», установив, что по результатам расчета сальдо встречных обязательств по договору лизинга на стороне лизингодателя (ответчика) имеется убыток и истец (лизингополучатель) не доказал факт неосновательного сбережения ответчиком денежных средств, суды пришли к выводу об отсутствии оснований для удовлетворения иска. Доводы, изложенные в кассационной жалобе, о наличии между сторонами разногласий относительно размера процентной ставки платы за финансирование и платы за фактическое пользование финансированием, стоимости возвращенного предмета лизинга и реализации ответчиком предмета лизинга по заниженной цене, о несогласии с произведенным судами расчетом 3 приводились при рассмотрении дела и были предметом рассмотрения судов. Эти доводы, с учетом установленных судами фактических обстоятельств,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по делу и установленных фактических обстоятельств, что не входит в полномочия суда при кассационном производстве. Нарушений судами норм процессуального права, являющихся безусловным основанием для изменения или отмены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 суд</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«Проминтерсервис»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