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26.02.2021 в иске отказано. Постановлением Двенадцатого арбитражного апелляционного суда от 30.06.2021, оставленным без изменения постановлением Арбитражного суда Поволжского округа от 11.10.2021, решение отменено в части отказа в иске в размере 104 780 рублей долга, 6 909 рублей 60 копеек неустойки за период с 04.02.2020 по 13.04.2020 и в этой части иск удовлетворен; в остальной части решение оставлено без изменения. В кассационной жалобе общество просит об отмене судебных актов апелляционного и окружного судов, ссылаясь на немотивированность отклонения доводов о непередаче истцом документов по рассматриваемым перевозкам и неосновательное уменьшение штрафа за непредставление документов.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документы, касающиеся спорных перевозок, приняты от истца работниками общества по реестрам, поэтому признал оказание услуг подтвержденным применительно к условиям договора от 10.01.2019 и взыскал их стоимость в соответствии со статьей 785 Гражданского кодекса Российской Федерации. Требуемая в жалобе переоценка доказательств оказания услуг и установленных судами обстоятельств для уменьшения неустойки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«Саратовский»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