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15.04.2021 первоначальный иск удовлетворен, в удовлетворении встречного иска отказано. Семнадцатый арбитражный апелляционный суд постановлением от 28.07.2021 принял отказ общества от встречного иска, отменил решение от 15.04.2021 в отношении встречного иска с прекращением производства по делу в этой части, в остальной части решение оставил без изменения. Арбитражный суд Уральского округа постановлением от 29.09.2021 постановление Семнадцатого арбитражного апелляционного суда от 28.07.2021 оставил без изменения. В кассационной жалобе общество просит об отмене судебных актов, ссылаясь на отсутствие надлежащих доказательств заключения договора и фактического выполнения предусмотренных им работ.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оценки представленных доказательств, свидетельствующих об оказании истцом согласованных договором от 02.09.2019 № 22/2019 услуг и частичной оплате их обществом, удовлетворили иск в соответствии со статьями 779, 781 Гражданского кодекса Российской Федерации. Установленные обстоятельства исполнения обязательства, носящего реальный характер, порождают права и обязанности сторон, к исполнению последних из которых суд обязал общество.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«Метрологическая лаборатория»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