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25.02.2021, оставленным без изменения постановлением Девятого арбитражного апелляционного суда от 25.05.2021 и постановлением Арбитражного суда Московского округа от 27.09.2021,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2 и процессуального права,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Разрешая спор и отказывая в удовлетворении исковых требований, суды первой и апелляционной инстанций, с которыми впоследствии согласился суд округа, руководствуясь статьями 196, 199, 200, 309, 310, 368, 369, 370, 374, 376, 702, 715, 740, 753, 1102 Гражданского кодекса Российской Федерации,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пришли к выводу о недоказанности истцом наличия на стороне ответчика неосновательного обогащения, а также пропуска им срока исковой давности, о чем было заявлено ответчиком. Выводы судов подробно мотивированы в обжалуемых судебных актах.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«Домжилсервис»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